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5AA" w:rsidRPr="00822182" w:rsidRDefault="00DA05AA" w:rsidP="008221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5AA" w:rsidRPr="00822182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182">
        <w:rPr>
          <w:rFonts w:ascii="Times New Roman" w:hAnsi="Times New Roman" w:cs="Times New Roman"/>
          <w:b/>
          <w:bCs/>
          <w:sz w:val="24"/>
          <w:szCs w:val="24"/>
        </w:rPr>
        <w:t>Список публикаций в международных рецензируемых изданиях</w:t>
      </w:r>
    </w:p>
    <w:p w:rsidR="00DA05AA" w:rsidRPr="001C68C5" w:rsidRDefault="00DA05AA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182">
        <w:rPr>
          <w:rFonts w:ascii="Times New Roman" w:hAnsi="Times New Roman" w:cs="Times New Roman"/>
          <w:b/>
          <w:sz w:val="24"/>
          <w:szCs w:val="24"/>
        </w:rPr>
        <w:t xml:space="preserve">опубликованные </w:t>
      </w:r>
      <w:r w:rsidR="00C46C3A" w:rsidRPr="00822182">
        <w:rPr>
          <w:rFonts w:ascii="Times New Roman" w:hAnsi="Times New Roman" w:cs="Times New Roman"/>
          <w:b/>
          <w:sz w:val="24"/>
          <w:szCs w:val="24"/>
        </w:rPr>
        <w:t xml:space="preserve">после защиты </w:t>
      </w:r>
      <w:r w:rsidRPr="00822182">
        <w:rPr>
          <w:rFonts w:ascii="Times New Roman" w:hAnsi="Times New Roman" w:cs="Times New Roman"/>
          <w:b/>
          <w:sz w:val="24"/>
          <w:szCs w:val="24"/>
        </w:rPr>
        <w:t>диссертации</w:t>
      </w:r>
      <w:r w:rsidR="00184436" w:rsidRPr="001C68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436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</w:p>
    <w:p w:rsidR="005B1DA3" w:rsidRPr="00822182" w:rsidRDefault="00236AE8" w:rsidP="00822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Жалмагамбетовой Ултуар Каирбулатовны</w:t>
      </w: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A05AA" w:rsidRPr="00822182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182">
        <w:rPr>
          <w:rFonts w:ascii="Times New Roman" w:hAnsi="Times New Roman" w:cs="Times New Roman"/>
          <w:sz w:val="24"/>
          <w:szCs w:val="24"/>
        </w:rPr>
        <w:t xml:space="preserve">Идентификаторы автора: </w:t>
      </w:r>
    </w:p>
    <w:p w:rsidR="000C4F61" w:rsidRPr="009F719D" w:rsidRDefault="00DA05AA" w:rsidP="0082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9F7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</w:t>
      </w:r>
      <w:r w:rsidRPr="009F7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</w:t>
      </w:r>
      <w:r w:rsidRPr="009F71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236AE8" w:rsidRPr="009F719D">
        <w:rPr>
          <w:rFonts w:ascii="Times New Roman" w:hAnsi="Times New Roman" w:cs="Times New Roman"/>
          <w:color w:val="000000" w:themeColor="text1"/>
          <w:sz w:val="24"/>
          <w:szCs w:val="24"/>
        </w:rPr>
        <w:t>57202369438</w:t>
      </w:r>
    </w:p>
    <w:p w:rsidR="002179F1" w:rsidRDefault="005303E4" w:rsidP="00236A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 of Science Researcher</w:t>
      </w:r>
      <w:r w:rsidR="00C105EC"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ID: </w:t>
      </w:r>
      <w:r w:rsidR="002179F1" w:rsidRPr="002179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AAY-1877-2020</w:t>
      </w:r>
    </w:p>
    <w:p w:rsidR="00DA05AA" w:rsidRDefault="00DA05AA" w:rsidP="00236A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ORCID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ID:</w:t>
      </w:r>
      <w:r w:rsidRPr="00822182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hyperlink r:id="rId8">
        <w:r w:rsidR="00236AE8" w:rsidRPr="00FE7B93"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0000-0002-2261-2222</w:t>
        </w:r>
      </w:hyperlink>
    </w:p>
    <w:p w:rsidR="000C4F61" w:rsidRPr="00822182" w:rsidRDefault="000C4F61" w:rsidP="008221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83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418"/>
        <w:gridCol w:w="1843"/>
        <w:gridCol w:w="2409"/>
        <w:gridCol w:w="1560"/>
        <w:gridCol w:w="2126"/>
        <w:gridCol w:w="2268"/>
        <w:gridCol w:w="1512"/>
      </w:tblGrid>
      <w:tr w:rsidR="005B1DA3" w:rsidRPr="004E5B56" w:rsidTr="004E5B56">
        <w:trPr>
          <w:trHeight w:val="1350"/>
          <w:tblHeader/>
        </w:trPr>
        <w:tc>
          <w:tcPr>
            <w:tcW w:w="567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№</w:t>
            </w:r>
          </w:p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2127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Название публикации</w:t>
            </w:r>
          </w:p>
        </w:tc>
        <w:tc>
          <w:tcPr>
            <w:tcW w:w="1418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Тип публикации (статья, обзор и т.д.)</w:t>
            </w:r>
          </w:p>
        </w:tc>
        <w:tc>
          <w:tcPr>
            <w:tcW w:w="1843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Наименование журнала, год публикации</w:t>
            </w:r>
          </w:p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(согласно базам данных),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DOI</w:t>
            </w:r>
          </w:p>
        </w:tc>
        <w:tc>
          <w:tcPr>
            <w:tcW w:w="2409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Импакт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-фактор журнала, квартиль и область науки</w:t>
            </w:r>
            <w:r w:rsidR="00EF79D9"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по данным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Journal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Citation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Reports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за год публикации</w:t>
            </w:r>
          </w:p>
        </w:tc>
        <w:tc>
          <w:tcPr>
            <w:tcW w:w="1560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Индекс в базе данных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Web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of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Science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Core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Collection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(Веб оф </w:t>
            </w: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Сайенс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Кор </w:t>
            </w: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Коллекшн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2126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CiteScore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СайтСкор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) журнала, </w:t>
            </w: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процентиль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и область науки* по данным 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Scopus</w:t>
            </w: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Скопус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 за год публикации</w:t>
            </w:r>
          </w:p>
        </w:tc>
        <w:tc>
          <w:tcPr>
            <w:tcW w:w="2268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ФИО</w:t>
            </w:r>
          </w:p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авторов (подчеркнуть ФИО претендента)</w:t>
            </w:r>
          </w:p>
        </w:tc>
        <w:tc>
          <w:tcPr>
            <w:tcW w:w="1512" w:type="dxa"/>
            <w:vAlign w:val="center"/>
          </w:tcPr>
          <w:p w:rsidR="00DA05AA" w:rsidRPr="004E5B56" w:rsidRDefault="00DA05AA" w:rsidP="009F719D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Роль претендента (соавтор, первый автор или автор для корреспонденции)</w:t>
            </w:r>
          </w:p>
        </w:tc>
      </w:tr>
      <w:tr w:rsidR="005B1DA3" w:rsidRPr="004E5B56" w:rsidTr="004E5B56">
        <w:trPr>
          <w:trHeight w:val="1644"/>
        </w:trPr>
        <w:tc>
          <w:tcPr>
            <w:tcW w:w="567" w:type="dxa"/>
            <w:vAlign w:val="center"/>
          </w:tcPr>
          <w:p w:rsidR="006568D0" w:rsidRPr="004E5B56" w:rsidRDefault="006568D0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568D0" w:rsidRPr="004E5B56" w:rsidRDefault="00F64E2E" w:rsidP="0082218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n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"/>
              </w:rPr>
              <w:t>Implications of Water Quality Index and Multivariate Statistics for Improved Environmental Regulation in the Irtysh River Basin (Kazakhstan)</w:t>
            </w:r>
          </w:p>
        </w:tc>
        <w:tc>
          <w:tcPr>
            <w:tcW w:w="1418" w:type="dxa"/>
            <w:vAlign w:val="center"/>
          </w:tcPr>
          <w:p w:rsidR="006568D0" w:rsidRPr="004E5B56" w:rsidRDefault="007F5182" w:rsidP="00074178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Статья</w:t>
            </w:r>
            <w:proofErr w:type="spellEnd"/>
          </w:p>
        </w:tc>
        <w:tc>
          <w:tcPr>
            <w:tcW w:w="1843" w:type="dxa"/>
            <w:vAlign w:val="center"/>
          </w:tcPr>
          <w:p w:rsidR="007F5182" w:rsidRPr="004E5B56" w:rsidRDefault="002179F1" w:rsidP="00986833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/>
                <w:b w:val="0"/>
                <w:i w:val="0"/>
                <w:sz w:val="21"/>
                <w:szCs w:val="21"/>
                <w:lang w:val="en-US"/>
              </w:rPr>
              <w:t xml:space="preserve">Water. 2024; 16(15):2203. </w:t>
            </w:r>
            <w:hyperlink r:id="rId9" w:history="1">
              <w:r w:rsidRPr="004E5B56">
                <w:rPr>
                  <w:rStyle w:val="aa"/>
                  <w:rFonts w:ascii="Times New Roman" w:hAnsi="Times New Roman"/>
                  <w:b w:val="0"/>
                  <w:i w:val="0"/>
                  <w:sz w:val="21"/>
                  <w:szCs w:val="21"/>
                  <w:lang w:val="en-US"/>
                </w:rPr>
                <w:t>https://doi.org/10.3390/w16152203</w:t>
              </w:r>
            </w:hyperlink>
            <w:r w:rsidRPr="004E5B56">
              <w:rPr>
                <w:rFonts w:ascii="Times New Roman" w:hAnsi="Times New Roman"/>
                <w:b w:val="0"/>
                <w:i w:val="0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46399" w:rsidRPr="004E5B56" w:rsidRDefault="002179F1" w:rsidP="009F719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Journal Impact Factor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2023 – 3,</w:t>
            </w:r>
          </w:p>
          <w:p w:rsidR="002179F1" w:rsidRPr="004E5B56" w:rsidRDefault="002179F1" w:rsidP="009F719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ENVIRONMENTAL SCIENCES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– Q2</w:t>
            </w:r>
          </w:p>
        </w:tc>
        <w:tc>
          <w:tcPr>
            <w:tcW w:w="1560" w:type="dxa"/>
            <w:vAlign w:val="center"/>
          </w:tcPr>
          <w:p w:rsidR="006568D0" w:rsidRPr="004E5B56" w:rsidRDefault="002179F1" w:rsidP="009F719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Science Citation Index Expanded (SCI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)</w:t>
            </w:r>
          </w:p>
        </w:tc>
        <w:tc>
          <w:tcPr>
            <w:tcW w:w="2126" w:type="dxa"/>
            <w:vAlign w:val="center"/>
          </w:tcPr>
          <w:p w:rsidR="00975DD7" w:rsidRPr="004E5B56" w:rsidRDefault="002179F1" w:rsidP="009F719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CiteScore</w:t>
            </w:r>
          </w:p>
          <w:p w:rsidR="002179F1" w:rsidRPr="004E5B56" w:rsidRDefault="002179F1" w:rsidP="009F719D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2023 – 5.8, 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Environmental Science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: 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Water Science and Technology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– 76</w:t>
            </w:r>
          </w:p>
        </w:tc>
        <w:tc>
          <w:tcPr>
            <w:tcW w:w="2268" w:type="dxa"/>
            <w:vAlign w:val="center"/>
          </w:tcPr>
          <w:p w:rsidR="00F64E2E" w:rsidRPr="004E5B56" w:rsidRDefault="00F64E2E" w:rsidP="00F64E2E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  <w:lang w:val="en-US"/>
              </w:rPr>
              <w:t>Zhalmagambetova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  <w:lang w:val="en-US"/>
              </w:rPr>
              <w:t xml:space="preserve"> U</w:t>
            </w:r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, </w:t>
            </w:r>
          </w:p>
          <w:p w:rsidR="009F719D" w:rsidRPr="004E5B56" w:rsidRDefault="00F64E2E" w:rsidP="00822182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Assanov</w:t>
            </w:r>
            <w:proofErr w:type="spellEnd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D,</w:t>
            </w:r>
          </w:p>
          <w:p w:rsidR="009F719D" w:rsidRPr="004E5B56" w:rsidRDefault="00F64E2E" w:rsidP="00822182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Neftissov</w:t>
            </w:r>
            <w:proofErr w:type="spellEnd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A,</w:t>
            </w:r>
          </w:p>
          <w:p w:rsidR="009F719D" w:rsidRPr="004E5B56" w:rsidRDefault="00F64E2E" w:rsidP="00822182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Biloshchytskyi</w:t>
            </w:r>
            <w:proofErr w:type="spellEnd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A,</w:t>
            </w:r>
          </w:p>
          <w:p w:rsidR="002C3AEB" w:rsidRPr="004E5B56" w:rsidRDefault="00F64E2E" w:rsidP="00822182">
            <w:pPr>
              <w:jc w:val="both"/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Radelyuk</w:t>
            </w:r>
            <w:proofErr w:type="spellEnd"/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I.</w:t>
            </w:r>
          </w:p>
        </w:tc>
        <w:tc>
          <w:tcPr>
            <w:tcW w:w="1512" w:type="dxa"/>
            <w:vAlign w:val="center"/>
          </w:tcPr>
          <w:p w:rsidR="006568D0" w:rsidRPr="004E5B56" w:rsidRDefault="00D41150" w:rsidP="00F64E2E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п</w:t>
            </w:r>
            <w:bookmarkStart w:id="0" w:name="_GoBack"/>
            <w:bookmarkEnd w:id="0"/>
            <w:r w:rsidR="00F64E2E" w:rsidRPr="004E5B56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ервый автор</w:t>
            </w:r>
          </w:p>
        </w:tc>
      </w:tr>
      <w:tr w:rsidR="002C3AEB" w:rsidRPr="004E5B56" w:rsidTr="004E5B56">
        <w:trPr>
          <w:trHeight w:val="58"/>
        </w:trPr>
        <w:tc>
          <w:tcPr>
            <w:tcW w:w="567" w:type="dxa"/>
            <w:vAlign w:val="center"/>
          </w:tcPr>
          <w:p w:rsidR="002C3AEB" w:rsidRPr="004E5B56" w:rsidRDefault="002C3AEB" w:rsidP="00822182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2C3AEB" w:rsidRPr="004E5B56" w:rsidRDefault="00986833" w:rsidP="002179F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Analysis of the Existing Air Emissions Detection Methods for Stationary Pollution Sources Monitoring</w:t>
            </w:r>
          </w:p>
        </w:tc>
        <w:tc>
          <w:tcPr>
            <w:tcW w:w="1418" w:type="dxa"/>
            <w:vAlign w:val="center"/>
          </w:tcPr>
          <w:p w:rsidR="002C3AEB" w:rsidRPr="004E5B56" w:rsidRDefault="002C3AEB" w:rsidP="0007417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</w:rPr>
              <w:t>Статья</w:t>
            </w:r>
          </w:p>
        </w:tc>
        <w:tc>
          <w:tcPr>
            <w:tcW w:w="1843" w:type="dxa"/>
            <w:vAlign w:val="center"/>
          </w:tcPr>
          <w:p w:rsidR="002C3AEB" w:rsidRPr="004E5B56" w:rsidRDefault="002179F1" w:rsidP="002179F1">
            <w:pPr>
              <w:pStyle w:val="a4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Applied Sciences. 2024; 14(23):10934. </w:t>
            </w:r>
            <w:hyperlink r:id="rId10" w:history="1">
              <w:r w:rsidRPr="004E5B56">
                <w:rPr>
                  <w:rStyle w:val="aa"/>
                  <w:rFonts w:ascii="Times New Roman" w:hAnsi="Times New Roman" w:cs="Times New Roman"/>
                  <w:bCs/>
                  <w:sz w:val="21"/>
                  <w:szCs w:val="21"/>
                  <w:lang w:val="en-US"/>
                </w:rPr>
                <w:t>https://doi.org/10.3390/app142310934</w:t>
              </w:r>
            </w:hyperlink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  <w:r w:rsidR="00986833"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2C3AEB" w:rsidRPr="004E5B56" w:rsidRDefault="002179F1" w:rsidP="002179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Journal Impact Factor 2023 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– 2.5,</w:t>
            </w:r>
          </w:p>
          <w:p w:rsidR="002179F1" w:rsidRPr="004E5B56" w:rsidRDefault="002179F1" w:rsidP="002179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ENGINEERING, MULTIDISCIPLINARY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– Q1</w:t>
            </w:r>
          </w:p>
        </w:tc>
        <w:tc>
          <w:tcPr>
            <w:tcW w:w="1560" w:type="dxa"/>
            <w:vAlign w:val="center"/>
          </w:tcPr>
          <w:p w:rsidR="002C3AEB" w:rsidRPr="004E5B56" w:rsidRDefault="002179F1" w:rsidP="002179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Science Citation Index Expanded (SCIE)</w:t>
            </w:r>
          </w:p>
        </w:tc>
        <w:tc>
          <w:tcPr>
            <w:tcW w:w="2126" w:type="dxa"/>
            <w:vAlign w:val="center"/>
          </w:tcPr>
          <w:p w:rsidR="00975DD7" w:rsidRPr="004E5B56" w:rsidRDefault="002179F1" w:rsidP="002179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CiteScore</w:t>
            </w:r>
          </w:p>
          <w:p w:rsidR="00975DD7" w:rsidRPr="004E5B56" w:rsidRDefault="002179F1" w:rsidP="002179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2023 –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5.3, </w:t>
            </w:r>
          </w:p>
          <w:p w:rsidR="006B6A1A" w:rsidRDefault="00140D8B" w:rsidP="002179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Engineering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:</w:t>
            </w:r>
          </w:p>
          <w:p w:rsidR="002179F1" w:rsidRPr="004E5B56" w:rsidRDefault="002179F1" w:rsidP="002179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General Engineering</w:t>
            </w:r>
            <w:r w:rsidRPr="004E5B56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– 79</w:t>
            </w:r>
          </w:p>
        </w:tc>
        <w:tc>
          <w:tcPr>
            <w:tcW w:w="2268" w:type="dxa"/>
            <w:vAlign w:val="center"/>
          </w:tcPr>
          <w:p w:rsidR="002179F1" w:rsidRPr="004E5B56" w:rsidRDefault="00FD50CE" w:rsidP="002179F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Neftissov</w:t>
            </w:r>
            <w:proofErr w:type="spellEnd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A.,</w:t>
            </w:r>
          </w:p>
          <w:p w:rsidR="00FD50CE" w:rsidRPr="004E5B56" w:rsidRDefault="00FD50CE" w:rsidP="002179F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>Biloshchytskyi</w:t>
            </w:r>
            <w:proofErr w:type="spellEnd"/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lang w:val="en-US"/>
              </w:rPr>
              <w:t xml:space="preserve"> A.,</w:t>
            </w:r>
          </w:p>
          <w:p w:rsidR="00FD50CE" w:rsidRPr="004E5B56" w:rsidRDefault="00FD50CE" w:rsidP="002179F1">
            <w:pPr>
              <w:jc w:val="both"/>
              <w:rPr>
                <w:rStyle w:val="inlineblock"/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4E5B56">
              <w:rPr>
                <w:rStyle w:val="inlineblock"/>
                <w:rFonts w:ascii="Times New Roman" w:hAnsi="Times New Roman" w:cs="Times New Roman"/>
                <w:sz w:val="21"/>
                <w:szCs w:val="21"/>
                <w:lang w:val="en-US"/>
              </w:rPr>
              <w:t>Kazambayev</w:t>
            </w:r>
            <w:proofErr w:type="spellEnd"/>
            <w:r w:rsidRPr="004E5B56">
              <w:rPr>
                <w:rStyle w:val="inlineblock"/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I.</w:t>
            </w:r>
          </w:p>
          <w:p w:rsidR="00FD50CE" w:rsidRPr="004E5B56" w:rsidRDefault="00FD50CE" w:rsidP="002179F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4E5B56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Kirichenko</w:t>
            </w:r>
            <w:proofErr w:type="spellEnd"/>
            <w:r w:rsidRPr="004E5B56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L.</w:t>
            </w:r>
          </w:p>
          <w:p w:rsidR="00FD50CE" w:rsidRPr="004E5B56" w:rsidRDefault="00FD50CE" w:rsidP="002179F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u w:val="single"/>
                <w:lang w:val="en-US"/>
              </w:rPr>
            </w:pPr>
            <w:proofErr w:type="spellStart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  <w:lang w:val="en-US"/>
              </w:rPr>
              <w:t>Zhalmagambetova</w:t>
            </w:r>
            <w:proofErr w:type="spellEnd"/>
            <w:r w:rsidRPr="004E5B56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  <w:lang w:val="en-US"/>
              </w:rPr>
              <w:t xml:space="preserve"> U</w:t>
            </w:r>
            <w:r w:rsidRPr="004E5B56">
              <w:rPr>
                <w:rFonts w:ascii="Times New Roman" w:hAnsi="Times New Roman" w:cs="Times New Roman"/>
                <w:bCs/>
                <w:sz w:val="21"/>
                <w:szCs w:val="21"/>
                <w:u w:val="single"/>
                <w:lang w:val="en-US"/>
              </w:rPr>
              <w:t>.</w:t>
            </w:r>
          </w:p>
          <w:p w:rsidR="002C3AEB" w:rsidRPr="004E5B56" w:rsidRDefault="00FD50CE" w:rsidP="002179F1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proofErr w:type="spellStart"/>
            <w:r w:rsidRPr="004E5B56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Biloshchytska</w:t>
            </w:r>
            <w:proofErr w:type="spellEnd"/>
            <w:r w:rsidRPr="004E5B56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S.</w:t>
            </w:r>
          </w:p>
        </w:tc>
        <w:tc>
          <w:tcPr>
            <w:tcW w:w="1512" w:type="dxa"/>
            <w:vAlign w:val="center"/>
          </w:tcPr>
          <w:p w:rsidR="002C3AEB" w:rsidRPr="004E5B56" w:rsidRDefault="00986833" w:rsidP="002179F1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4E5B56">
              <w:rPr>
                <w:rFonts w:ascii="Times New Roman" w:hAnsi="Times New Roman" w:cs="Times New Roman"/>
                <w:sz w:val="21"/>
                <w:szCs w:val="21"/>
              </w:rPr>
              <w:t>соавтор</w:t>
            </w:r>
          </w:p>
        </w:tc>
      </w:tr>
    </w:tbl>
    <w:p w:rsidR="0029704B" w:rsidRPr="00822182" w:rsidRDefault="0029704B" w:rsidP="008221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9704B" w:rsidRPr="00822182" w:rsidSect="005B1DA3">
      <w:footerReference w:type="default" r:id="rId11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96" w:rsidRDefault="00E96996" w:rsidP="009B5309">
      <w:pPr>
        <w:spacing w:after="0" w:line="240" w:lineRule="auto"/>
      </w:pPr>
      <w:r>
        <w:separator/>
      </w:r>
    </w:p>
  </w:endnote>
  <w:endnote w:type="continuationSeparator" w:id="0">
    <w:p w:rsidR="00E96996" w:rsidRDefault="00E96996" w:rsidP="009B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055" w:rsidRDefault="00C57055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</w:pP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>Автор:</w:t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Pr="000C4F61">
      <w:rPr>
        <w:rFonts w:ascii="Times New Roman" w:eastAsia="Times New Roman" w:hAnsi="Times New Roman" w:cs="Times New Roman"/>
        <w:b/>
        <w:sz w:val="24"/>
        <w:szCs w:val="24"/>
        <w:lang w:val="kk-KZ" w:eastAsia="ru-RU"/>
      </w:rPr>
      <w:tab/>
    </w:r>
    <w:r w:rsidR="00B230AD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У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.</w:t>
    </w:r>
    <w:r w:rsidR="00B230AD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К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 xml:space="preserve">. </w:t>
    </w:r>
    <w:r w:rsidR="00B230AD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Жалмагамбет</w:t>
    </w:r>
    <w:r w:rsidR="002C3AEB">
      <w:rPr>
        <w:rFonts w:ascii="Times New Roman" w:eastAsia="Arial Unicode MS" w:hAnsi="Times New Roman" w:cs="Times New Roman"/>
        <w:b/>
        <w:sz w:val="24"/>
        <w:szCs w:val="20"/>
        <w:lang w:val="kk-KZ" w:eastAsia="ru-RU"/>
      </w:rPr>
      <w:t>ова</w:t>
    </w: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0C4F61" w:rsidRPr="000C4F61" w:rsidRDefault="000C4F61" w:rsidP="000C4F61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24"/>
        <w:szCs w:val="24"/>
        <w:lang w:eastAsia="ru-RU"/>
      </w:rPr>
    </w:pPr>
  </w:p>
  <w:p w:rsidR="009B5309" w:rsidRPr="00C57055" w:rsidRDefault="002C3AEB" w:rsidP="00C57055">
    <w:pPr>
      <w:spacing w:after="0" w:line="240" w:lineRule="auto"/>
      <w:ind w:firstLine="3"/>
      <w:rPr>
        <w:rFonts w:ascii="Times New Roman" w:eastAsia="Times New Roman" w:hAnsi="Times New Roman" w:cs="Times New Roman"/>
        <w:b/>
        <w:sz w:val="32"/>
        <w:szCs w:val="24"/>
        <w:lang w:eastAsia="ru-RU"/>
      </w:rPr>
    </w:pP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 xml:space="preserve">Ученый секретарь </w:t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</w:r>
    <w:r>
      <w:rPr>
        <w:rFonts w:ascii="Times New Roman" w:eastAsia="Times New Roman" w:hAnsi="Times New Roman" w:cs="Times New Roman"/>
        <w:b/>
        <w:sz w:val="24"/>
        <w:szCs w:val="20"/>
        <w:lang w:val="kk-KZ" w:eastAsia="ru-RU"/>
      </w:rPr>
      <w:tab/>
      <w:t>Ә.П. Шаһарман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96" w:rsidRDefault="00E96996" w:rsidP="009B5309">
      <w:pPr>
        <w:spacing w:after="0" w:line="240" w:lineRule="auto"/>
      </w:pPr>
      <w:r>
        <w:separator/>
      </w:r>
    </w:p>
  </w:footnote>
  <w:footnote w:type="continuationSeparator" w:id="0">
    <w:p w:rsidR="00E96996" w:rsidRDefault="00E96996" w:rsidP="009B5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114223"/>
    <w:multiLevelType w:val="hybridMultilevel"/>
    <w:tmpl w:val="060EA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F6ADE"/>
    <w:multiLevelType w:val="hybridMultilevel"/>
    <w:tmpl w:val="849025C6"/>
    <w:lvl w:ilvl="0" w:tplc="96142192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BE3"/>
    <w:rsid w:val="000623F3"/>
    <w:rsid w:val="00074178"/>
    <w:rsid w:val="000A2D69"/>
    <w:rsid w:val="000C4F61"/>
    <w:rsid w:val="001277CA"/>
    <w:rsid w:val="00140D8B"/>
    <w:rsid w:val="00176C58"/>
    <w:rsid w:val="00184436"/>
    <w:rsid w:val="001C68C5"/>
    <w:rsid w:val="001D3374"/>
    <w:rsid w:val="002179F1"/>
    <w:rsid w:val="00230AF6"/>
    <w:rsid w:val="0023543B"/>
    <w:rsid w:val="00236AE8"/>
    <w:rsid w:val="0027293F"/>
    <w:rsid w:val="0029704B"/>
    <w:rsid w:val="002C3AEB"/>
    <w:rsid w:val="002E537B"/>
    <w:rsid w:val="00301A6E"/>
    <w:rsid w:val="003213F0"/>
    <w:rsid w:val="00351BE3"/>
    <w:rsid w:val="00437BE3"/>
    <w:rsid w:val="00447DBD"/>
    <w:rsid w:val="004C1ACB"/>
    <w:rsid w:val="004E5B56"/>
    <w:rsid w:val="005303E4"/>
    <w:rsid w:val="00533212"/>
    <w:rsid w:val="00595F3F"/>
    <w:rsid w:val="005A3C41"/>
    <w:rsid w:val="005B1DA3"/>
    <w:rsid w:val="005B2874"/>
    <w:rsid w:val="006306B2"/>
    <w:rsid w:val="006568D0"/>
    <w:rsid w:val="00667071"/>
    <w:rsid w:val="006B6A1A"/>
    <w:rsid w:val="006E63CA"/>
    <w:rsid w:val="007207A9"/>
    <w:rsid w:val="00735997"/>
    <w:rsid w:val="007F5182"/>
    <w:rsid w:val="00822182"/>
    <w:rsid w:val="00856C90"/>
    <w:rsid w:val="008A362A"/>
    <w:rsid w:val="008F2320"/>
    <w:rsid w:val="008F5527"/>
    <w:rsid w:val="00902749"/>
    <w:rsid w:val="0093288D"/>
    <w:rsid w:val="00947B85"/>
    <w:rsid w:val="00973DE0"/>
    <w:rsid w:val="00975DD7"/>
    <w:rsid w:val="00986833"/>
    <w:rsid w:val="009B5309"/>
    <w:rsid w:val="009F719D"/>
    <w:rsid w:val="009F7BF2"/>
    <w:rsid w:val="00A03605"/>
    <w:rsid w:val="00A46399"/>
    <w:rsid w:val="00A70FAB"/>
    <w:rsid w:val="00B07CCB"/>
    <w:rsid w:val="00B230AD"/>
    <w:rsid w:val="00B27A5A"/>
    <w:rsid w:val="00BA3411"/>
    <w:rsid w:val="00BE354C"/>
    <w:rsid w:val="00C01A3D"/>
    <w:rsid w:val="00C034DB"/>
    <w:rsid w:val="00C105EC"/>
    <w:rsid w:val="00C1588C"/>
    <w:rsid w:val="00C46C3A"/>
    <w:rsid w:val="00C516EB"/>
    <w:rsid w:val="00C57055"/>
    <w:rsid w:val="00CB40EE"/>
    <w:rsid w:val="00CC1C7C"/>
    <w:rsid w:val="00CC25C5"/>
    <w:rsid w:val="00CF2CE0"/>
    <w:rsid w:val="00D121E5"/>
    <w:rsid w:val="00D41150"/>
    <w:rsid w:val="00D742B9"/>
    <w:rsid w:val="00DA05AA"/>
    <w:rsid w:val="00DD6AC6"/>
    <w:rsid w:val="00DF3A95"/>
    <w:rsid w:val="00E90654"/>
    <w:rsid w:val="00E96996"/>
    <w:rsid w:val="00EC5D50"/>
    <w:rsid w:val="00EF0542"/>
    <w:rsid w:val="00EF79D9"/>
    <w:rsid w:val="00F64E2E"/>
    <w:rsid w:val="00F876A1"/>
    <w:rsid w:val="00F96AEF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DAB1F"/>
  <w15:docId w15:val="{19F7AA86-5C4A-430D-BCBC-A8828F9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5AA"/>
  </w:style>
  <w:style w:type="paragraph" w:styleId="2">
    <w:name w:val="heading 2"/>
    <w:basedOn w:val="a"/>
    <w:next w:val="a"/>
    <w:link w:val="20"/>
    <w:uiPriority w:val="9"/>
    <w:unhideWhenUsed/>
    <w:qFormat/>
    <w:rsid w:val="002C3AE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,Heading1,Colorful List - Accent 11,Bullet List,FooterText,numbered,Абзац с отступом,Список 1,References,Akapit z listą BS,List_Paragraph,Multilevel para_II,Bullet1,Main numbered paragraph,NumberedParas,Bullets,List Paragraph"/>
    <w:basedOn w:val="a"/>
    <w:link w:val="a5"/>
    <w:uiPriority w:val="34"/>
    <w:qFormat/>
    <w:rsid w:val="005B1D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5309"/>
  </w:style>
  <w:style w:type="paragraph" w:styleId="a8">
    <w:name w:val="footer"/>
    <w:basedOn w:val="a"/>
    <w:link w:val="a9"/>
    <w:uiPriority w:val="99"/>
    <w:unhideWhenUsed/>
    <w:rsid w:val="009B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5309"/>
  </w:style>
  <w:style w:type="character" w:styleId="aa">
    <w:name w:val="Hyperlink"/>
    <w:basedOn w:val="a0"/>
    <w:uiPriority w:val="99"/>
    <w:unhideWhenUsed/>
    <w:rsid w:val="00CC25C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C25C5"/>
    <w:rPr>
      <w:color w:val="605E5C"/>
      <w:shd w:val="clear" w:color="auto" w:fill="E1DFDD"/>
    </w:rPr>
  </w:style>
  <w:style w:type="character" w:customStyle="1" w:styleId="typography-modulelvnit">
    <w:name w:val="typography-module__lvnit"/>
    <w:rsid w:val="002C3AEB"/>
  </w:style>
  <w:style w:type="character" w:customStyle="1" w:styleId="20">
    <w:name w:val="Заголовок 2 Знак"/>
    <w:basedOn w:val="a0"/>
    <w:link w:val="2"/>
    <w:uiPriority w:val="9"/>
    <w:rsid w:val="002C3AE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856C9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C6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68C5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маркированный Знак,Heading1 Знак,Colorful List - Accent 11 Знак,Bullet List Знак,FooterText Знак,numbered Знак,Абзац с отступом Знак,Список 1 Знак,References Знак,Akapit z listą BS Знак,List_Paragraph Знак,Multilevel para_II Знак"/>
    <w:link w:val="a4"/>
    <w:uiPriority w:val="34"/>
    <w:qFormat/>
    <w:locked/>
    <w:rsid w:val="00986833"/>
  </w:style>
  <w:style w:type="character" w:customStyle="1" w:styleId="inlineblock">
    <w:name w:val="inlineblock"/>
    <w:basedOn w:val="a0"/>
    <w:rsid w:val="00FD50CE"/>
  </w:style>
  <w:style w:type="character" w:styleId="ad">
    <w:name w:val="Unresolved Mention"/>
    <w:basedOn w:val="a0"/>
    <w:uiPriority w:val="99"/>
    <w:semiHidden/>
    <w:unhideWhenUsed/>
    <w:rsid w:val="0021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2261-22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3390/app142310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390/w16152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2395-9AE5-40DD-97DC-D6A3F765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Binazir Issenova</cp:lastModifiedBy>
  <cp:revision>13</cp:revision>
  <cp:lastPrinted>2025-02-11T07:41:00Z</cp:lastPrinted>
  <dcterms:created xsi:type="dcterms:W3CDTF">2025-04-01T19:00:00Z</dcterms:created>
  <dcterms:modified xsi:type="dcterms:W3CDTF">2025-04-03T15:26:00Z</dcterms:modified>
</cp:coreProperties>
</file>